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bookmarkStart w:colFirst="0" w:colLast="0" w:name="_heading=h.26in1rg" w:id="0"/>
      <w:bookmarkEnd w:id="0"/>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4"/>
        </w:numPr>
        <w:ind w:left="720" w:hanging="720"/>
        <w:rPr>
          <w:rFonts w:ascii="Arial" w:cs="Arial" w:eastAsia="Arial" w:hAnsi="Arial"/>
          <w:sz w:val="24"/>
          <w:szCs w:val="24"/>
        </w:rPr>
      </w:pPr>
      <w:bookmarkStart w:colFirst="0" w:colLast="0" w:name="_heading=h.2s8eyo1" w:id="1"/>
      <w:bookmarkEnd w:id="1"/>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4"/>
        </w:numPr>
        <w:ind w:left="1800" w:hanging="1080"/>
        <w:rPr>
          <w:rFonts w:ascii="Arial" w:cs="Arial" w:eastAsia="Arial" w:hAnsi="Arial"/>
          <w:sz w:val="24"/>
          <w:szCs w:val="24"/>
        </w:rPr>
      </w:pPr>
      <w:bookmarkStart w:colFirst="0" w:colLast="0" w:name="_heading=h.gjdgxs" w:id="2"/>
      <w:bookmarkEnd w:id="2"/>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4"/>
        </w:numPr>
        <w:ind w:left="2694" w:hanging="864"/>
        <w:rPr>
          <w:rFonts w:ascii="Arial" w:cs="Arial" w:eastAsia="Arial" w:hAnsi="Arial"/>
          <w:sz w:val="24"/>
          <w:szCs w:val="24"/>
        </w:rPr>
      </w:pPr>
      <w:bookmarkStart w:colFirst="0" w:colLast="0" w:name="_heading=h.30j0zll" w:id="3"/>
      <w:bookmarkEnd w:id="3"/>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4"/>
        </w:numPr>
        <w:ind w:left="2694" w:hanging="864"/>
        <w:rPr>
          <w:rFonts w:ascii="Arial" w:cs="Arial" w:eastAsia="Arial" w:hAnsi="Arial"/>
          <w:sz w:val="24"/>
          <w:szCs w:val="24"/>
        </w:rPr>
      </w:pPr>
      <w:bookmarkStart w:colFirst="0" w:colLast="0" w:name="_heading=h.1fob9te" w:id="4"/>
      <w:bookmarkEnd w:id="4"/>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4"/>
        </w:numPr>
        <w:ind w:left="1797" w:hanging="1077"/>
        <w:rPr>
          <w:rFonts w:ascii="Arial" w:cs="Arial" w:eastAsia="Arial" w:hAnsi="Arial"/>
          <w:sz w:val="24"/>
          <w:szCs w:val="24"/>
        </w:rPr>
      </w:pPr>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bookmarkStart w:colFirst="0" w:colLast="0" w:name="_heading=h.3znysh7" w:id="5"/>
      <w:bookmarkEnd w:id="5"/>
      <w:r w:rsidDel="00000000" w:rsidR="00000000" w:rsidRPr="00000000">
        <w:rPr>
          <w:rFonts w:ascii="Arial" w:cs="Arial" w:eastAsia="Arial" w:hAnsi="Arial"/>
          <w:sz w:val="24"/>
          <w:szCs w:val="24"/>
          <w:rtl w:val="0"/>
        </w:rPr>
        <w:t xml:space="preserve">in each case as a material Default of the Contract for the purposes of Clause 10.4.1(d) of the Core Terms (When CCS or the buyer can end a contract).</w:t>
      </w:r>
    </w:p>
    <w:p w:rsidR="00000000" w:rsidDel="00000000" w:rsidP="00000000" w:rsidRDefault="00000000" w:rsidRPr="00000000" w14:paraId="00000016">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11.4.1(d) of the Core Terms where:</w:t>
      </w:r>
    </w:p>
    <w:p w:rsidR="00000000" w:rsidDel="00000000" w:rsidP="00000000" w:rsidRDefault="00000000" w:rsidRPr="00000000" w14:paraId="0000001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4"/>
        </w:numPr>
        <w:ind w:left="709" w:hanging="720"/>
        <w:rPr>
          <w:rFonts w:ascii="Arial" w:cs="Arial" w:eastAsia="Arial" w:hAnsi="Arial"/>
          <w:sz w:val="24"/>
          <w:szCs w:val="24"/>
        </w:rPr>
      </w:pPr>
      <w:bookmarkStart w:colFirst="0" w:colLast="0" w:name="_heading=h.2et92p0" w:id="6"/>
      <w:bookmarkEnd w:id="6"/>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(When CCS or the buyer can end a contract) where:</w:t>
      </w:r>
    </w:p>
    <w:p w:rsidR="00000000" w:rsidDel="00000000" w:rsidP="00000000" w:rsidRDefault="00000000" w:rsidRPr="00000000" w14:paraId="0000002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b w:val="1"/>
          <w:smallCaps w:val="1"/>
          <w:sz w:val="24"/>
          <w:szCs w:val="24"/>
          <w:highlight w:val="green"/>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r w:rsidDel="00000000" w:rsidR="00000000" w:rsidRPr="00000000">
        <w:rPr>
          <w:rtl w:val="0"/>
        </w:rPr>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2">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4">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5">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7">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9">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A">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B">
      <w:pPr>
        <w:pStyle w:val="Heading1"/>
        <w:numPr>
          <w:ilvl w:val="0"/>
          <w:numId w:val="5"/>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C">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D">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E">
      <w:pPr>
        <w:pStyle w:val="Heading2"/>
        <w:keepNext w:val="1"/>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bookmarkStart w:colFirst="0" w:colLast="0" w:name="_heading=h.tyjcwt" w:id="7"/>
            <w:bookmarkEnd w:id="7"/>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C">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D">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E">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4F">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0">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1">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2">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3">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4">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5">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6">
      <w:pPr>
        <w:pStyle w:val="Heading2"/>
        <w:numPr>
          <w:ilvl w:val="1"/>
          <w:numId w:val="5"/>
        </w:numPr>
        <w:ind w:left="1429" w:hanging="720"/>
        <w:rPr>
          <w:rFonts w:ascii="Arial" w:cs="Arial" w:eastAsia="Arial" w:hAnsi="Arial"/>
          <w:sz w:val="24"/>
          <w:szCs w:val="24"/>
        </w:rPr>
      </w:pPr>
      <w:bookmarkStart w:colFirst="0" w:colLast="0" w:name="_heading=h.3dy6vkm" w:id="8"/>
      <w:bookmarkEnd w:id="8"/>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7">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8">
      <w:pPr>
        <w:pStyle w:val="Heading2"/>
        <w:numPr>
          <w:ilvl w:val="1"/>
          <w:numId w:val="5"/>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9">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A">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The Guarantors liability shall be no greater the Suppliers liability would have been under the Contract.</w:t>
      </w:r>
    </w:p>
    <w:p w:rsidR="00000000" w:rsidDel="00000000" w:rsidP="00000000" w:rsidRDefault="00000000" w:rsidRPr="00000000" w14:paraId="0000005B">
      <w:pPr>
        <w:pStyle w:val="Heading2"/>
        <w:numPr>
          <w:ilvl w:val="1"/>
          <w:numId w:val="5"/>
        </w:numPr>
        <w:ind w:left="1429" w:hanging="720"/>
        <w:rPr>
          <w:rFonts w:ascii="Arial" w:cs="Arial" w:eastAsia="Arial" w:hAnsi="Arial"/>
          <w:sz w:val="24"/>
          <w:szCs w:val="24"/>
        </w:rPr>
      </w:pPr>
      <w:bookmarkStart w:colFirst="0" w:colLast="0" w:name="_heading=h.1t3h5sf" w:id="9"/>
      <w:bookmarkEnd w:id="9"/>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C">
      <w:pPr>
        <w:pStyle w:val="Heading1"/>
        <w:numPr>
          <w:ilvl w:val="0"/>
          <w:numId w:val="5"/>
        </w:numPr>
        <w:ind w:left="720" w:hanging="720"/>
        <w:rPr>
          <w:rFonts w:ascii="Arial" w:cs="Arial" w:eastAsia="Arial" w:hAnsi="Arial"/>
          <w:sz w:val="24"/>
          <w:szCs w:val="24"/>
        </w:rPr>
      </w:pPr>
      <w:bookmarkStart w:colFirst="0" w:colLast="0" w:name="_heading=h.4d34og8" w:id="10"/>
      <w:bookmarkEnd w:id="10"/>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11"/>
      <w:bookmarkEnd w:id="11"/>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E">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5F">
      <w:pPr>
        <w:pStyle w:val="Heading2"/>
        <w:keepNext w:val="1"/>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4">
      <w:pPr>
        <w:pStyle w:val="Heading2"/>
        <w:keepNext w:val="1"/>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5">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6">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7">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8">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9">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A">
      <w:pPr>
        <w:pStyle w:val="Heading1"/>
        <w:numPr>
          <w:ilvl w:val="0"/>
          <w:numId w:val="5"/>
        </w:numPr>
        <w:ind w:left="720" w:hanging="720"/>
        <w:rPr>
          <w:rFonts w:ascii="Arial" w:cs="Arial" w:eastAsia="Arial" w:hAnsi="Arial"/>
          <w:sz w:val="24"/>
          <w:szCs w:val="24"/>
        </w:rPr>
      </w:pPr>
      <w:bookmarkStart w:colFirst="0" w:colLast="0" w:name="_heading=h.17dp8vu" w:id="12"/>
      <w:bookmarkEnd w:id="12"/>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B">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C">
      <w:pPr>
        <w:pStyle w:val="Heading2"/>
        <w:keepNext w:val="1"/>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D">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E">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6F">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0">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1">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2">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3">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4">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5">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6">
      <w:pPr>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7">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9">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A">
      <w:pPr>
        <w:pStyle w:val="Heading2"/>
        <w:keepNext w:val="1"/>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B">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C">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D">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7F">
      <w:pPr>
        <w:pStyle w:val="Heading1"/>
        <w:numPr>
          <w:ilvl w:val="0"/>
          <w:numId w:val="5"/>
        </w:numPr>
        <w:ind w:left="720" w:hanging="720"/>
        <w:rPr>
          <w:rFonts w:ascii="Arial" w:cs="Arial" w:eastAsia="Arial" w:hAnsi="Arial"/>
          <w:sz w:val="24"/>
          <w:szCs w:val="24"/>
        </w:rPr>
      </w:pPr>
      <w:bookmarkStart w:colFirst="0" w:colLast="0" w:name="_heading=h.3rdcrjn" w:id="13"/>
      <w:bookmarkEnd w:id="13"/>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0">
      <w:pPr>
        <w:pStyle w:val="Heading2"/>
        <w:keepNext w:val="1"/>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1">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2">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3">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4">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5">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6">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7">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8">
      <w:pPr>
        <w:pStyle w:val="Heading2"/>
        <w:keepNext w:val="1"/>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9">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A">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B">
      <w:pPr>
        <w:pStyle w:val="Heading3"/>
        <w:keepNext w:val="1"/>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C">
      <w:pPr>
        <w:pStyle w:val="Heading4"/>
        <w:numPr>
          <w:ilvl w:val="3"/>
          <w:numId w:val="2"/>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D">
      <w:pPr>
        <w:pStyle w:val="Heading4"/>
        <w:numPr>
          <w:ilvl w:val="3"/>
          <w:numId w:val="2"/>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E">
      <w:pPr>
        <w:pStyle w:val="Heading4"/>
        <w:numPr>
          <w:ilvl w:val="3"/>
          <w:numId w:val="2"/>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8F">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0">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1">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2">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3">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4">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5">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7">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8">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9">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A">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C">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E">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0">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1">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2">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3">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4">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5">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6">
      <w:pPr>
        <w:spacing w:after="120" w:before="120" w:lineRule="auto"/>
        <w:ind w:left="936" w:firstLine="0"/>
        <w:rPr/>
      </w:pPr>
      <w:r w:rsidDel="00000000" w:rsidR="00000000" w:rsidRPr="00000000">
        <w:rPr>
          <w:rFonts w:ascii="Arial" w:cs="Arial" w:eastAsia="Arial" w:hAnsi="Arial"/>
          <w:b w:val="1"/>
          <w:sz w:val="24"/>
          <w:szCs w:val="24"/>
          <w:highlight w:val="yellow"/>
          <w:rtl w:val="0"/>
        </w:rPr>
        <w:t xml:space="preserve">[Guidance Note:</w:t>
      </w:r>
      <w:r w:rsidDel="00000000" w:rsidR="00000000" w:rsidRPr="00000000">
        <w:rPr>
          <w:rFonts w:ascii="Arial" w:cs="Arial" w:eastAsia="Arial" w:hAnsi="Arial"/>
          <w:sz w:val="24"/>
          <w:szCs w:val="24"/>
          <w:rtl w:val="0"/>
        </w:rPr>
        <w:t xml:space="preserve"> Include the above provision when dealing with the appointment of English process agent by a non-English incorporated Guarantor]</w:t>
      </w: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C">
      <w:pPr>
        <w:rPr>
          <w:rFonts w:ascii="Arial" w:cs="Arial" w:eastAsia="Arial" w:hAnsi="Arial"/>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AF">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6">
      <w:pPr>
        <w:numPr>
          <w:ilvl w:val="0"/>
          <w:numId w:val="1"/>
        </w:numPr>
        <w:pBdr>
          <w:top w:space="0" w:sz="0" w:val="nil"/>
          <w:left w:space="0" w:sz="0" w:val="nil"/>
          <w:bottom w:space="0" w:sz="0" w:val="nil"/>
          <w:right w:space="0" w:sz="0" w:val="nil"/>
          <w:between w:space="0" w:sz="0" w:val="nil"/>
        </w:pBdr>
        <w:tabs>
          <w:tab w:val="left"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8">
      <w:pPr>
        <w:numPr>
          <w:ilvl w:val="0"/>
          <w:numId w:val="1"/>
        </w:numPr>
        <w:pBdr>
          <w:top w:space="0" w:sz="0" w:val="nil"/>
          <w:left w:space="0" w:sz="0" w:val="nil"/>
          <w:bottom w:space="0" w:sz="0" w:val="nil"/>
          <w:right w:space="0" w:sz="0" w:val="nil"/>
          <w:between w:space="0" w:sz="0" w:val="nil"/>
        </w:pBdr>
        <w:tabs>
          <w:tab w:val="left"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A">
      <w:pPr>
        <w:numPr>
          <w:ilvl w:val="0"/>
          <w:numId w:val="1"/>
        </w:numPr>
        <w:pBdr>
          <w:top w:space="0" w:sz="0" w:val="nil"/>
          <w:left w:space="0" w:sz="0" w:val="nil"/>
          <w:bottom w:space="0" w:sz="0" w:val="nil"/>
          <w:right w:space="0" w:sz="0" w:val="nil"/>
          <w:between w:space="0" w:sz="0" w:val="nil"/>
        </w:pBdr>
        <w:tabs>
          <w:tab w:val="left"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have issued this Letter of Intent to Guarantee in consideration of CCS entering into the Framework Contract with the Supplier. </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C">
      <w:pPr>
        <w:numPr>
          <w:ilvl w:val="0"/>
          <w:numId w:val="1"/>
        </w:numPr>
        <w:pBdr>
          <w:top w:space="0" w:sz="0" w:val="nil"/>
          <w:left w:space="0" w:sz="0" w:val="nil"/>
          <w:bottom w:space="0" w:sz="0" w:val="nil"/>
          <w:right w:space="0" w:sz="0" w:val="nil"/>
          <w:between w:space="0" w:sz="0" w:val="nil"/>
        </w:pBdr>
        <w:tabs>
          <w:tab w:val="left"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E">
      <w:pPr>
        <w:numPr>
          <w:ilvl w:val="0"/>
          <w:numId w:val="1"/>
        </w:numPr>
        <w:pBdr>
          <w:top w:space="0" w:sz="0" w:val="nil"/>
          <w:left w:space="0" w:sz="0" w:val="nil"/>
          <w:bottom w:space="0" w:sz="0" w:val="nil"/>
          <w:right w:space="0" w:sz="0" w:val="nil"/>
          <w:between w:space="0" w:sz="0" w:val="nil"/>
        </w:pBdr>
        <w:tabs>
          <w:tab w:val="left"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acknowledge that it is a condition of the Framework Contract that:</w:t>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0">
      <w:pPr>
        <w:numPr>
          <w:ilvl w:val="1"/>
          <w:numId w:val="1"/>
        </w:numPr>
        <w:pBdr>
          <w:top w:space="0" w:sz="0" w:val="nil"/>
          <w:left w:space="0" w:sz="0" w:val="nil"/>
          <w:bottom w:space="0" w:sz="0" w:val="nil"/>
          <w:right w:space="0" w:sz="0" w:val="nil"/>
          <w:between w:space="0" w:sz="0" w:val="nil"/>
        </w:pBdr>
        <w:tabs>
          <w:tab w:val="left"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provide this Letter of Intent to Guarantee to CCS (paragraph 2.1.1 of Joint Schedule 8 of the Framework Contract); and</w:t>
      </w:r>
    </w:p>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pos="3402"/>
        </w:tabs>
        <w:spacing w:after="0" w:lineRule="auto"/>
        <w:ind w:left="792"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2">
      <w:pPr>
        <w:numPr>
          <w:ilvl w:val="1"/>
          <w:numId w:val="1"/>
        </w:numPr>
        <w:pBdr>
          <w:top w:space="0" w:sz="0" w:val="nil"/>
          <w:left w:space="0" w:sz="0" w:val="nil"/>
          <w:bottom w:space="0" w:sz="0" w:val="nil"/>
          <w:right w:space="0" w:sz="0" w:val="nil"/>
          <w:between w:space="0" w:sz="0" w:val="nil"/>
        </w:pBdr>
        <w:tabs>
          <w:tab w:val="left"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4">
      <w:pPr>
        <w:numPr>
          <w:ilvl w:val="0"/>
          <w:numId w:val="1"/>
        </w:numPr>
        <w:pBdr>
          <w:top w:space="0" w:sz="0" w:val="nil"/>
          <w:left w:space="0" w:sz="0" w:val="nil"/>
          <w:bottom w:space="0" w:sz="0" w:val="nil"/>
          <w:right w:space="0" w:sz="0" w:val="nil"/>
          <w:between w:space="0" w:sz="0" w:val="nil"/>
        </w:pBdr>
        <w:tabs>
          <w:tab w:val="left"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confirm that:</w:t>
      </w:r>
    </w:p>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6">
      <w:pPr>
        <w:numPr>
          <w:ilvl w:val="1"/>
          <w:numId w:val="1"/>
        </w:numPr>
        <w:pBdr>
          <w:top w:space="0" w:sz="0" w:val="nil"/>
          <w:left w:space="0" w:sz="0" w:val="nil"/>
          <w:bottom w:space="0" w:sz="0" w:val="nil"/>
          <w:right w:space="0" w:sz="0" w:val="nil"/>
          <w:between w:space="0" w:sz="0" w:val="nil"/>
        </w:pBdr>
        <w:tabs>
          <w:tab w:val="left"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undertake to provide each Guarantee in accordance with the Framework Contract; and</w:t>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pos="3402"/>
        </w:tabs>
        <w:spacing w:after="0" w:lineRule="auto"/>
        <w:ind w:left="792"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8">
      <w:pPr>
        <w:numPr>
          <w:ilvl w:val="1"/>
          <w:numId w:val="1"/>
        </w:numPr>
        <w:pBdr>
          <w:top w:space="0" w:sz="0" w:val="nil"/>
          <w:left w:space="0" w:sz="0" w:val="nil"/>
          <w:bottom w:space="0" w:sz="0" w:val="nil"/>
          <w:right w:space="0" w:sz="0" w:val="nil"/>
          <w:between w:space="0" w:sz="0" w:val="nil"/>
        </w:pBdr>
        <w:tabs>
          <w:tab w:val="left"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understand that CCS may terminate the Framework Contract with the Supplier as a material Default of the Framework Contract if:</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A">
      <w:pPr>
        <w:numPr>
          <w:ilvl w:val="2"/>
          <w:numId w:val="1"/>
        </w:numPr>
        <w:pBdr>
          <w:top w:space="0" w:sz="0" w:val="nil"/>
          <w:left w:space="0" w:sz="0" w:val="nil"/>
          <w:bottom w:space="0" w:sz="0" w:val="nil"/>
          <w:right w:space="0" w:sz="0" w:val="nil"/>
          <w:between w:space="0" w:sz="0" w:val="nil"/>
        </w:pBdr>
        <w:tabs>
          <w:tab w:val="left"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withdraw or revoke this Letter of Intent to Guarantee in whole or in part for any reason whatsoever;</w:t>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C">
      <w:pPr>
        <w:numPr>
          <w:ilvl w:val="2"/>
          <w:numId w:val="1"/>
        </w:numPr>
        <w:pBdr>
          <w:top w:space="0" w:sz="0" w:val="nil"/>
          <w:left w:space="0" w:sz="0" w:val="nil"/>
          <w:bottom w:space="0" w:sz="0" w:val="nil"/>
          <w:right w:space="0" w:sz="0" w:val="nil"/>
          <w:between w:space="0" w:sz="0" w:val="nil"/>
        </w:pBdr>
        <w:tabs>
          <w:tab w:val="left"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refuse to enter into a Guarantee in accordance paragraph 2.1.2 of Joint Schedule 8 of the Framework Contract; or </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E">
      <w:pPr>
        <w:numPr>
          <w:ilvl w:val="2"/>
          <w:numId w:val="1"/>
        </w:numPr>
        <w:pBdr>
          <w:top w:space="0" w:sz="0" w:val="nil"/>
          <w:left w:space="0" w:sz="0" w:val="nil"/>
          <w:bottom w:space="0" w:sz="0" w:val="nil"/>
          <w:right w:space="0" w:sz="0" w:val="nil"/>
          <w:between w:space="0" w:sz="0" w:val="nil"/>
        </w:pBdr>
        <w:tabs>
          <w:tab w:val="left"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Insolvency Event occurs in respect of the Guarantor.</w:t>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0">
      <w:pPr>
        <w:numPr>
          <w:ilvl w:val="0"/>
          <w:numId w:val="1"/>
        </w:numPr>
        <w:pBdr>
          <w:top w:space="0" w:sz="0" w:val="nil"/>
          <w:left w:space="0" w:sz="0" w:val="nil"/>
          <w:bottom w:space="0" w:sz="0" w:val="nil"/>
          <w:right w:space="0" w:sz="0" w:val="nil"/>
          <w:between w:space="0" w:sz="0" w:val="nil"/>
        </w:pBdr>
        <w:tabs>
          <w:tab w:val="left"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2">
      <w:pPr>
        <w:numPr>
          <w:ilvl w:val="0"/>
          <w:numId w:val="1"/>
        </w:numPr>
        <w:pBdr>
          <w:top w:space="0" w:sz="0" w:val="nil"/>
          <w:left w:space="0" w:sz="0" w:val="nil"/>
          <w:bottom w:space="0" w:sz="0" w:val="nil"/>
          <w:right w:space="0" w:sz="0" w:val="nil"/>
          <w:between w:space="0" w:sz="0" w:val="nil"/>
        </w:pBdr>
        <w:tabs>
          <w:tab w:val="left"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Letter of Intent to Guarantee and any Disputes arising out of, or connected to it, are governed by English law. CCS and the Guarantor must resolve any Dispute in accordance with Clause 36 of the Core Terms of the Framework Contract as if that clause applied to this Letter of Intent to Guarantee.</w:t>
      </w:r>
    </w:p>
    <w:p w:rsidR="00000000" w:rsidDel="00000000" w:rsidP="00000000" w:rsidRDefault="00000000" w:rsidRPr="00000000" w14:paraId="000000D3">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C">
      <w:pPr>
        <w:numPr>
          <w:ilvl w:val="0"/>
          <w:numId w:val="3"/>
        </w:numPr>
        <w:pBdr>
          <w:top w:space="0" w:sz="0" w:val="nil"/>
          <w:left w:space="0" w:sz="0" w:val="nil"/>
          <w:bottom w:space="0" w:sz="0" w:val="nil"/>
          <w:right w:space="0" w:sz="0" w:val="nil"/>
          <w:between w:space="0" w:sz="0" w:val="nil"/>
        </w:pBdr>
        <w:tabs>
          <w:tab w:val="left" w:pos="3402"/>
        </w:tabs>
        <w:spacing w:after="2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2">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3">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5">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VersioVersion:</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6">
    <w:pPr>
      <w:tabs>
        <w:tab w:val="center" w:pos="4513"/>
        <w:tab w:val="right" w:pos="9026"/>
      </w:tabs>
      <w:spacing w:after="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E7">
    <w:pP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RM6232</w:t>
      <w:tab/>
      <w:t xml:space="preserve">                                           </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bookmarkStart w:colFirst="0" w:colLast="0" w:name="_heading=h.lnxbz9" w:id="14"/>
    <w:bookmarkEnd w:id="14"/>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9">
    <w:pPr>
      <w:spacing w:after="0" w:lineRule="auto"/>
      <w:rPr>
        <w:color w:val="000000"/>
        <w:sz w:val="20"/>
        <w:szCs w:val="20"/>
      </w:rPr>
    </w:pPr>
    <w:r w:rsidDel="00000000" w:rsidR="00000000" w:rsidRPr="00000000">
      <w:rPr>
        <w:rFonts w:ascii="Arial" w:cs="Arial" w:eastAsia="Arial" w:hAnsi="Arial"/>
        <w:color w:val="000000"/>
        <w:sz w:val="20"/>
        <w:szCs w:val="20"/>
        <w:rtl w:val="0"/>
      </w:rPr>
      <w:t xml:space="preserve">Model Version: v 3.2</w:t>
      <w:tab/>
    </w:r>
    <w:r w:rsidDel="00000000" w:rsidR="00000000" w:rsidRPr="00000000">
      <w:rPr>
        <w:color w:val="000000"/>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w:t>
    </w:r>
    <w:r w:rsidDel="00000000" w:rsidR="00000000" w:rsidRPr="00000000">
      <w:rPr>
        <w:rFonts w:ascii="Arial" w:cs="Arial" w:eastAsia="Arial" w:hAnsi="Arial"/>
        <w:sz w:val="20"/>
        <w:szCs w:val="20"/>
        <w:rtl w:val="0"/>
      </w:rPr>
      <w:t xml:space="preserve">021</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9"/>
      <w:numFmt w:val="decimal"/>
      <w:lvlText w:val="%1."/>
      <w:lvlJc w:val="left"/>
      <w:pPr>
        <w:ind w:left="720" w:hanging="720"/>
      </w:pPr>
      <w:rPr>
        <w:b w:val="0"/>
      </w:rPr>
    </w:lvl>
    <w:lvl w:ilvl="1">
      <w:start w:val="1"/>
      <w:numFmt w:val="decimal"/>
      <w:lvlText w:val="%1.%2"/>
      <w:lvlJc w:val="left"/>
      <w:pPr>
        <w:ind w:left="720" w:hanging="720"/>
      </w:pPr>
      <w:rPr>
        <w:b w:val="0"/>
      </w:rPr>
    </w:lvl>
    <w:lvl w:ilvl="2">
      <w:start w:val="3"/>
      <w:numFmt w:val="decimal"/>
      <w:lvlText w:val="%1.%2.%3"/>
      <w:lvlJc w:val="left"/>
      <w:pPr>
        <w:ind w:left="1800" w:hanging="1080"/>
      </w:pPr>
      <w:rPr>
        <w:b w:val="0"/>
      </w:rPr>
    </w:lvl>
    <w:lvl w:ilvl="3">
      <w:start w:val="1"/>
      <w:numFmt w:val="decimal"/>
      <w:lvlText w:val="%1.%2.%3.%4"/>
      <w:lvlJc w:val="left"/>
      <w:pPr>
        <w:ind w:left="3312" w:hanging="1512"/>
      </w:pPr>
      <w:rPr>
        <w:b w:val="0"/>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5">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120"/>
      <w:ind w:left="360" w:hanging="360"/>
      <w:outlineLvl w:val="0"/>
    </w:pPr>
    <w:rPr>
      <w:b w:val="1"/>
    </w:rPr>
  </w:style>
  <w:style w:type="paragraph" w:styleId="Heading2">
    <w:name w:val="heading 2"/>
    <w:basedOn w:val="Normal"/>
    <w:next w:val="Normal"/>
    <w:uiPriority w:val="9"/>
    <w:unhideWhenUsed w:val="1"/>
    <w:qFormat w:val="1"/>
    <w:pPr>
      <w:spacing w:after="120" w:before="120"/>
      <w:ind w:left="936" w:hanging="576"/>
      <w:outlineLvl w:val="1"/>
    </w:pPr>
  </w:style>
  <w:style w:type="paragraph" w:styleId="Heading3">
    <w:name w:val="heading 3"/>
    <w:basedOn w:val="Normal"/>
    <w:next w:val="Normal"/>
    <w:uiPriority w:val="9"/>
    <w:unhideWhenUsed w:val="1"/>
    <w:qFormat w:val="1"/>
    <w:pPr>
      <w:spacing w:after="120" w:before="120"/>
      <w:ind w:left="1656" w:hanging="720"/>
      <w:outlineLvl w:val="2"/>
    </w:pPr>
  </w:style>
  <w:style w:type="paragraph" w:styleId="Heading4">
    <w:name w:val="heading 4"/>
    <w:basedOn w:val="Normal"/>
    <w:next w:val="Normal"/>
    <w:uiPriority w:val="9"/>
    <w:unhideWhenUsed w:val="1"/>
    <w:qFormat w:val="1"/>
    <w:pPr>
      <w:spacing w:after="120" w:before="120"/>
      <w:ind w:left="2592" w:hanging="936"/>
      <w:outlineLvl w:val="3"/>
    </w:pPr>
  </w:style>
  <w:style w:type="paragraph" w:styleId="Heading5">
    <w:name w:val="heading 5"/>
    <w:basedOn w:val="Normal"/>
    <w:next w:val="Normal"/>
    <w:uiPriority w:val="9"/>
    <w:semiHidden w:val="1"/>
    <w:unhideWhenUsed w:val="1"/>
    <w:qFormat w:val="1"/>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uiPriority w:val="9"/>
    <w:semiHidden w:val="1"/>
    <w:unhideWhenUsed w:val="1"/>
    <w:qFormat w:val="1"/>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table" w:styleId="a1" w:customStyle="1">
    <w:basedOn w:val="TableNormal"/>
    <w:pPr>
      <w:spacing w:after="0"/>
    </w:pPr>
    <w:tblPr>
      <w:tblStyleRowBandSize w:val="1"/>
      <w:tblStyleColBandSize w:val="1"/>
      <w:tblCellMar>
        <w:left w:w="115.0" w:type="dxa"/>
        <w:right w:w="115.0" w:type="dxa"/>
      </w:tblCellMar>
    </w:tblPr>
  </w:style>
  <w:style w:type="table" w:styleId="a2" w:customStyle="1">
    <w:basedOn w:val="TableNormal"/>
    <w:pPr>
      <w:spacing w:after="0"/>
    </w:pPr>
    <w:tblPr>
      <w:tblStyleRowBandSize w:val="1"/>
      <w:tblStyleColBandSize w:val="1"/>
      <w:tblCellMar>
        <w:left w:w="115.0" w:type="dxa"/>
        <w:right w:w="115.0" w:type="dxa"/>
      </w:tblCellMar>
    </w:tblPr>
  </w:style>
  <w:style w:type="paragraph" w:styleId="Header">
    <w:name w:val="header"/>
    <w:basedOn w:val="Normal"/>
    <w:link w:val="HeaderChar"/>
    <w:uiPriority w:val="99"/>
    <w:unhideWhenUsed w:val="1"/>
    <w:rsid w:val="00553083"/>
    <w:pPr>
      <w:tabs>
        <w:tab w:val="center" w:pos="4513"/>
        <w:tab w:val="right" w:pos="9026"/>
      </w:tabs>
      <w:spacing w:after="0"/>
    </w:pPr>
  </w:style>
  <w:style w:type="character" w:styleId="HeaderChar" w:customStyle="1">
    <w:name w:val="Header Char"/>
    <w:basedOn w:val="DefaultParagraphFont"/>
    <w:link w:val="Header"/>
    <w:uiPriority w:val="99"/>
    <w:rsid w:val="00553083"/>
  </w:style>
  <w:style w:type="paragraph" w:styleId="Footer">
    <w:name w:val="footer"/>
    <w:basedOn w:val="Normal"/>
    <w:link w:val="FooterChar"/>
    <w:uiPriority w:val="99"/>
    <w:unhideWhenUsed w:val="1"/>
    <w:rsid w:val="00553083"/>
    <w:pPr>
      <w:tabs>
        <w:tab w:val="center" w:pos="4513"/>
        <w:tab w:val="right" w:pos="9026"/>
      </w:tabs>
      <w:spacing w:after="0"/>
    </w:pPr>
  </w:style>
  <w:style w:type="character" w:styleId="FooterChar" w:customStyle="1">
    <w:name w:val="Footer Char"/>
    <w:basedOn w:val="DefaultParagraphFont"/>
    <w:link w:val="Footer"/>
    <w:uiPriority w:val="99"/>
    <w:rsid w:val="00553083"/>
  </w:style>
  <w:style w:type="table" w:styleId="a3" w:customStyle="1">
    <w:basedOn w:val="TableNormal"/>
    <w:pPr>
      <w:spacing w:after="0"/>
    </w:pPr>
    <w:tblPr>
      <w:tblStyleRowBandSize w:val="1"/>
      <w:tblStyleColBandSize w:val="1"/>
      <w:tblCellMar>
        <w:left w:w="115.0" w:type="dxa"/>
        <w:right w:w="115.0" w:type="dxa"/>
      </w:tblCellMar>
    </w:tblPr>
  </w:style>
  <w:style w:type="table" w:styleId="a4" w:customStyle="1">
    <w:basedOn w:val="TableNormal"/>
    <w:pPr>
      <w:spacing w:after="0"/>
    </w:pPr>
    <w:tblPr>
      <w:tblStyleRowBandSize w:val="1"/>
      <w:tblStyleColBandSize w:val="1"/>
      <w:tblCellMar>
        <w:left w:w="115.0" w:type="dxa"/>
        <w:right w:w="115.0" w:type="dxa"/>
      </w:tblCellMar>
    </w:tblPr>
  </w:style>
  <w:style w:type="table" w:styleId="a5" w:customStyle="1">
    <w:basedOn w:val="TableNormal"/>
    <w:pPr>
      <w:spacing w:after="0"/>
    </w:pPr>
    <w:tblPr>
      <w:tblStyleRowBandSize w:val="1"/>
      <w:tblStyleColBandSize w:val="1"/>
      <w:tblCellMar>
        <w:left w:w="115.0" w:type="dxa"/>
        <w:right w:w="115.0" w:type="dxa"/>
      </w:tblCellMar>
    </w:tblPr>
  </w:style>
  <w:style w:type="table" w:styleId="a6" w:customStyle="1">
    <w:basedOn w:val="TableNormal"/>
    <w:pPr>
      <w:spacing w:after="0"/>
    </w:p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QndX7YXyJRt3OjsKg0pg2/GvWg==">AMUW2mWQZHkjBCdricSsc0jOLz1FzV+wJyxiZhONbtswUSJCuq61NprChXdzxbNO2z2FHrMdATnGDTCkJ5epYvyNYc+g5iUKKkTF4BA8nfcLN+9kgHSeXV8TrVibaEBj8+HOKC85tq/boJ6aDdPkiUaNA/NNVA03GQCOib1+8VxkUurRNAm4is0Y5Gr6Y9TXsCkFohR+eZw9+0DcXETIoGyr2FdLJsUJCCtqbEIveJelocxMDUofntBhHG+EmuKZGPHeVUG6doRg6KwKip2XuVd2ldqfnV8Ry1Jo4yozUhbHFByAiB0wqBMvLstFYPkUrBgo5eEZ4CJ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2021-12-03T07:14:00Z</dcterms:created>
  <dc:creator>David Tinkler</dc:creator>
</cp:coreProperties>
</file>